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422" w:rsidRPr="00832AD7" w:rsidRDefault="002453CF" w:rsidP="00832AD7">
      <w:pPr>
        <w:spacing w:after="0" w:line="240" w:lineRule="auto"/>
        <w:rPr>
          <w:rFonts w:cs="David"/>
          <w:b/>
          <w:bCs/>
          <w:sz w:val="16"/>
          <w:szCs w:val="16"/>
          <w:rtl/>
        </w:rPr>
      </w:pPr>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p>
    <w:p w:rsidR="00983123" w:rsidRPr="00832AD7" w:rsidRDefault="00983123" w:rsidP="00832AD7">
      <w:pPr>
        <w:spacing w:after="0" w:line="240" w:lineRule="auto"/>
        <w:jc w:val="right"/>
        <w:rPr>
          <w:rFonts w:ascii="Times New Roman" w:eastAsia="Times New Roman" w:hAnsi="Times New Roman" w:cs="David"/>
          <w:sz w:val="16"/>
          <w:szCs w:val="16"/>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DocDateEng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23 בדצמבר 2024</w:t>
      </w:r>
      <w:r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כ"ב בכסלו תשפ"ה</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4700-1039-2024-010238</w:t>
      </w:r>
      <w:r w:rsidRPr="00832AD7">
        <w:rPr>
          <w:rFonts w:ascii="Times New Roman" w:eastAsia="Times New Roman" w:hAnsi="Times New Roman" w:cs="David" w:hint="cs"/>
          <w:sz w:val="16"/>
          <w:szCs w:val="16"/>
          <w:rtl/>
        </w:rPr>
        <w:fldChar w:fldCharType="end"/>
      </w:r>
    </w:p>
    <w:p w:rsidR="00515986" w:rsidRPr="00515986" w:rsidRDefault="00515986" w:rsidP="000C4D75">
      <w:pPr>
        <w:tabs>
          <w:tab w:val="num" w:pos="1080"/>
        </w:tabs>
        <w:spacing w:after="0" w:line="276" w:lineRule="auto"/>
        <w:jc w:val="both"/>
        <w:rPr>
          <w:rFonts w:ascii="Arial" w:eastAsia="Times New Roman" w:hAnsi="Arial" w:cs="David"/>
          <w:b/>
          <w:bCs/>
          <w:sz w:val="24"/>
          <w:szCs w:val="24"/>
          <w:rtl/>
        </w:rPr>
      </w:pPr>
    </w:p>
    <w:p w:rsidR="00E45EA2" w:rsidRPr="00E45EA2" w:rsidRDefault="00E13F6E" w:rsidP="00E45EA2">
      <w:pPr>
        <w:pStyle w:val="aa"/>
        <w:rPr>
          <w:rtl/>
        </w:rPr>
      </w:pPr>
      <w:r w:rsidRPr="00E45EA2">
        <w:rPr>
          <w:rtl/>
        </w:rPr>
        <w:t xml:space="preserve">תקציר </w:t>
      </w:r>
      <w:r w:rsidR="00E45EA2" w:rsidRPr="00E45EA2">
        <w:rPr>
          <w:rFonts w:hint="cs"/>
          <w:rtl/>
        </w:rPr>
        <w:t xml:space="preserve">גזר-דין תפ"ח 8956-09-20 - מדינת ישראל נ' </w:t>
      </w:r>
      <w:proofErr w:type="spellStart"/>
      <w:r w:rsidR="00E45EA2" w:rsidRPr="00E45EA2">
        <w:rPr>
          <w:rFonts w:hint="cs"/>
          <w:rtl/>
        </w:rPr>
        <w:t>ברגיג</w:t>
      </w:r>
      <w:proofErr w:type="spellEnd"/>
    </w:p>
    <w:p w:rsidR="00E13F6E" w:rsidRDefault="00E45EA2" w:rsidP="00E45EA2">
      <w:pPr>
        <w:spacing w:after="120"/>
        <w:jc w:val="center"/>
        <w:rPr>
          <w:rFonts w:ascii="FrankRuehl" w:hAnsi="FrankRuehl" w:cs="FrankRuehl"/>
          <w:b/>
          <w:bCs/>
          <w:color w:val="002060"/>
          <w:sz w:val="32"/>
          <w:szCs w:val="32"/>
          <w:rtl/>
        </w:rPr>
      </w:pPr>
      <w:r>
        <w:rPr>
          <w:rFonts w:ascii="FrankRuehl" w:hAnsi="FrankRuehl" w:cs="FrankRuehl" w:hint="cs"/>
          <w:b/>
          <w:bCs/>
          <w:color w:val="002060"/>
          <w:sz w:val="32"/>
          <w:szCs w:val="32"/>
          <w:rtl/>
        </w:rPr>
        <w:t xml:space="preserve">ביהמ"ש המחוזי המרכז לוד, </w:t>
      </w:r>
      <w:r w:rsidR="00E13F6E" w:rsidRPr="000071E5">
        <w:rPr>
          <w:rFonts w:ascii="FrankRuehl" w:hAnsi="FrankRuehl" w:cs="FrankRuehl" w:hint="cs"/>
          <w:b/>
          <w:bCs/>
          <w:color w:val="002060"/>
          <w:sz w:val="32"/>
          <w:szCs w:val="32"/>
          <w:rtl/>
        </w:rPr>
        <w:t xml:space="preserve"> אב"ד </w:t>
      </w:r>
      <w:r>
        <w:rPr>
          <w:rFonts w:ascii="FrankRuehl" w:hAnsi="FrankRuehl" w:cs="FrankRuehl" w:hint="cs"/>
          <w:b/>
          <w:bCs/>
          <w:color w:val="002060"/>
          <w:sz w:val="32"/>
          <w:szCs w:val="32"/>
          <w:rtl/>
        </w:rPr>
        <w:t>סגן הנשיאה עמי קובו, השופט מיכאל קרשן, השופטת מרב גרינברג</w:t>
      </w:r>
      <w:r w:rsidR="00E13F6E" w:rsidRPr="000071E5">
        <w:rPr>
          <w:rFonts w:ascii="FrankRuehl" w:hAnsi="FrankRuehl" w:cs="FrankRuehl" w:hint="cs"/>
          <w:b/>
          <w:bCs/>
          <w:color w:val="002060"/>
          <w:sz w:val="32"/>
          <w:szCs w:val="32"/>
          <w:rtl/>
        </w:rPr>
        <w:t xml:space="preserve"> </w:t>
      </w:r>
    </w:p>
    <w:p w:rsidR="00E45EA2" w:rsidRPr="000071E5" w:rsidRDefault="00E45EA2" w:rsidP="00E45EA2">
      <w:pPr>
        <w:spacing w:after="120"/>
        <w:jc w:val="center"/>
        <w:rPr>
          <w:rFonts w:ascii="FrankRuehl" w:hAnsi="FrankRuehl" w:cs="FrankRuehl"/>
          <w:b/>
          <w:bCs/>
          <w:color w:val="002060"/>
          <w:sz w:val="32"/>
          <w:szCs w:val="32"/>
          <w:rtl/>
        </w:rPr>
      </w:pPr>
    </w:p>
    <w:p w:rsidR="00E45EA2" w:rsidRDefault="00E45EA2" w:rsidP="0080567F">
      <w:pPr>
        <w:pStyle w:val="ab"/>
        <w:spacing w:line="360" w:lineRule="auto"/>
        <w:ind w:left="140" w:firstLine="0"/>
        <w:jc w:val="both"/>
        <w:rPr>
          <w:rFonts w:ascii="David" w:hAnsi="David" w:cs="David"/>
          <w:rtl/>
          <w:lang w:eastAsia="he-IL"/>
        </w:rPr>
      </w:pPr>
      <w:r>
        <w:rPr>
          <w:rFonts w:ascii="David" w:hAnsi="David" w:cs="David" w:hint="cs"/>
          <w:rtl/>
          <w:lang w:eastAsia="he-IL"/>
        </w:rPr>
        <w:t xml:space="preserve">ביום 25.12.24 הרכב השופטים עמי קובו, מיכאל קרשן ומרב גרינברג בבית המשפט המחוזי מרכז-לוד גזר על הנאשם אסף </w:t>
      </w:r>
      <w:proofErr w:type="spellStart"/>
      <w:r>
        <w:rPr>
          <w:rFonts w:ascii="David" w:hAnsi="David" w:cs="David" w:hint="cs"/>
          <w:rtl/>
          <w:lang w:eastAsia="he-IL"/>
        </w:rPr>
        <w:t>ברגיג</w:t>
      </w:r>
      <w:proofErr w:type="spellEnd"/>
      <w:r>
        <w:rPr>
          <w:rFonts w:ascii="David" w:hAnsi="David" w:cs="David" w:hint="cs"/>
          <w:rtl/>
          <w:lang w:eastAsia="he-IL"/>
        </w:rPr>
        <w:t xml:space="preserve">, אשר הורשע לאחר ניהול הוכחות בעבירת רצח בכוונה בצוותא </w:t>
      </w:r>
      <w:r w:rsidRPr="009A2E42">
        <w:rPr>
          <w:rFonts w:ascii="David" w:hAnsi="David" w:cs="David" w:hint="cs"/>
          <w:b/>
          <w:bCs/>
          <w:rtl/>
          <w:lang w:eastAsia="he-IL"/>
        </w:rPr>
        <w:t>עונש</w:t>
      </w:r>
      <w:r>
        <w:rPr>
          <w:rFonts w:ascii="David" w:hAnsi="David" w:cs="David" w:hint="cs"/>
          <w:b/>
          <w:bCs/>
          <w:rtl/>
          <w:lang w:eastAsia="he-IL"/>
        </w:rPr>
        <w:t xml:space="preserve"> </w:t>
      </w:r>
      <w:bookmarkStart w:id="0" w:name="_GoBack"/>
      <w:bookmarkEnd w:id="0"/>
      <w:r w:rsidRPr="009A2E42">
        <w:rPr>
          <w:rFonts w:ascii="David" w:hAnsi="David" w:cs="David" w:hint="cs"/>
          <w:b/>
          <w:bCs/>
          <w:rtl/>
          <w:lang w:eastAsia="he-IL"/>
        </w:rPr>
        <w:t>של 26 שנות מאסר בפועל</w:t>
      </w:r>
      <w:r>
        <w:rPr>
          <w:rFonts w:ascii="David" w:hAnsi="David" w:cs="David" w:hint="cs"/>
          <w:rtl/>
          <w:lang w:eastAsia="he-IL"/>
        </w:rPr>
        <w:t xml:space="preserve"> לצד ענישה נלווית. </w:t>
      </w:r>
    </w:p>
    <w:p w:rsidR="00E45EA2" w:rsidRDefault="00E45EA2" w:rsidP="00E45EA2">
      <w:pPr>
        <w:pStyle w:val="ab"/>
        <w:spacing w:line="360" w:lineRule="auto"/>
        <w:ind w:left="140" w:firstLine="0"/>
        <w:jc w:val="both"/>
        <w:rPr>
          <w:rFonts w:ascii="David" w:hAnsi="David" w:cs="David"/>
          <w:rtl/>
          <w:lang w:eastAsia="he-IL"/>
        </w:rPr>
      </w:pPr>
      <w:r>
        <w:rPr>
          <w:rFonts w:ascii="David" w:hAnsi="David" w:cs="David" w:hint="cs"/>
          <w:rtl/>
          <w:lang w:eastAsia="he-IL"/>
        </w:rPr>
        <w:t xml:space="preserve"> </w:t>
      </w:r>
    </w:p>
    <w:p w:rsidR="00E45EA2" w:rsidRDefault="00E45EA2" w:rsidP="00E45EA2">
      <w:pPr>
        <w:pStyle w:val="a"/>
        <w:numPr>
          <w:ilvl w:val="0"/>
          <w:numId w:val="0"/>
        </w:numPr>
        <w:ind w:left="140"/>
        <w:jc w:val="both"/>
        <w:rPr>
          <w:rtl/>
        </w:rPr>
      </w:pPr>
      <w:r w:rsidRPr="00B80D38">
        <w:rPr>
          <w:rFonts w:hint="cs"/>
          <w:rtl/>
        </w:rPr>
        <w:t>יאשיהו בלום ז"ל, בחור צעיר ונורמטיבי</w:t>
      </w:r>
      <w:r>
        <w:rPr>
          <w:rFonts w:hint="cs"/>
          <w:rtl/>
        </w:rPr>
        <w:t xml:space="preserve"> לאחר שירות צבאי</w:t>
      </w:r>
      <w:r w:rsidRPr="00B80D38">
        <w:rPr>
          <w:rFonts w:hint="cs"/>
          <w:rtl/>
        </w:rPr>
        <w:t>, יצא לבילוי</w:t>
      </w:r>
      <w:r>
        <w:rPr>
          <w:rFonts w:hint="cs"/>
          <w:rtl/>
        </w:rPr>
        <w:t xml:space="preserve"> עם חבריו, ובחניון הסמוך ל</w:t>
      </w:r>
      <w:r w:rsidRPr="00B80D38">
        <w:rPr>
          <w:rtl/>
        </w:rPr>
        <w:t>חוף הים "ארבע על ארבע" בראשון לציון</w:t>
      </w:r>
      <w:r>
        <w:rPr>
          <w:rFonts w:hint="cs"/>
          <w:rtl/>
        </w:rPr>
        <w:t xml:space="preserve">, </w:t>
      </w:r>
      <w:r w:rsidRPr="00B80D38">
        <w:rPr>
          <w:rFonts w:hint="cs"/>
          <w:rtl/>
        </w:rPr>
        <w:t>מצא את מותו בדקירות סכין, על לא עוול בכפו, ולאחר ויכוח שכלל לא היה צד לו, בין חבריו של המנוח לבי</w:t>
      </w:r>
      <w:r>
        <w:rPr>
          <w:rFonts w:hint="cs"/>
          <w:rtl/>
        </w:rPr>
        <w:t>ן חבריו של הנאשם. שימוש בסכין הוביל לגדיעת חייו של אדם צעיר בתחילת דרכו, בשל עניין של מה בכך, והותיר את משפחתו כואבת ודואבת</w:t>
      </w:r>
      <w:r w:rsidRPr="00657362">
        <w:rPr>
          <w:rFonts w:hint="cs"/>
          <w:rtl/>
        </w:rPr>
        <w:t xml:space="preserve">. </w:t>
      </w:r>
    </w:p>
    <w:p w:rsidR="00E45EA2" w:rsidRPr="003D3F4C" w:rsidRDefault="00E45EA2" w:rsidP="00E45EA2">
      <w:pPr>
        <w:pStyle w:val="a"/>
        <w:numPr>
          <w:ilvl w:val="0"/>
          <w:numId w:val="0"/>
        </w:numPr>
        <w:ind w:left="140"/>
        <w:jc w:val="both"/>
      </w:pPr>
      <w:r>
        <w:rPr>
          <w:rFonts w:hint="cs"/>
          <w:rtl/>
        </w:rPr>
        <w:t xml:space="preserve">בני חבורתו של הנאשם תקפו באלימות את בני חבורתו של המנוח, תקיפה חד צדדית, אשר גרמה לחבריו של המנוח לנוס על נפשם. בעת שהחל האירוע וחבריו של הנאשם התעמתו עם חבריו של המנוח </w:t>
      </w:r>
      <w:r>
        <w:rPr>
          <w:rtl/>
        </w:rPr>
        <w:t>–</w:t>
      </w:r>
      <w:r>
        <w:rPr>
          <w:rFonts w:hint="cs"/>
          <w:rtl/>
        </w:rPr>
        <w:t xml:space="preserve"> המנוח עצמו היה בתוך הרכב, וכלל לא היה מעורב בחילופי הדברים, אשר החלו את האירוע. המנוח יצא מהרכב, ולאחר שחבריו נמלטו מהמקום, הוא נותר לבדו בזירה, ואז הנאשם דקר אותו למוות בכוונה. </w:t>
      </w:r>
      <w:r w:rsidRPr="003D3F4C">
        <w:rPr>
          <w:rFonts w:hint="cs"/>
          <w:rtl/>
        </w:rPr>
        <w:t>לאח</w:t>
      </w:r>
      <w:r w:rsidRPr="003D3F4C">
        <w:rPr>
          <w:rtl/>
        </w:rPr>
        <w:t>ר ה</w:t>
      </w:r>
      <w:r>
        <w:rPr>
          <w:rtl/>
        </w:rPr>
        <w:t>אירוע, נכנסו הנאשם וחבריו לרכב</w:t>
      </w:r>
      <w:r>
        <w:rPr>
          <w:rFonts w:hint="cs"/>
          <w:rtl/>
        </w:rPr>
        <w:t xml:space="preserve">ם </w:t>
      </w:r>
      <w:r w:rsidRPr="003D3F4C">
        <w:rPr>
          <w:rtl/>
        </w:rPr>
        <w:t>ונמלטו מהמקום</w:t>
      </w:r>
      <w:r w:rsidRPr="00B80D38">
        <w:rPr>
          <w:rtl/>
        </w:rPr>
        <w:t xml:space="preserve">. </w:t>
      </w:r>
      <w:r w:rsidRPr="003D3F4C">
        <w:rPr>
          <w:rtl/>
        </w:rPr>
        <w:t>במהלך הנסיעה מהח</w:t>
      </w:r>
      <w:r w:rsidRPr="003D3F4C">
        <w:rPr>
          <w:rFonts w:hint="cs"/>
          <w:rtl/>
        </w:rPr>
        <w:t xml:space="preserve">ניון </w:t>
      </w:r>
      <w:r w:rsidRPr="003D3F4C">
        <w:rPr>
          <w:rtl/>
        </w:rPr>
        <w:t xml:space="preserve">לביתם, </w:t>
      </w:r>
      <w:r w:rsidRPr="003D3F4C">
        <w:rPr>
          <w:rFonts w:hint="cs"/>
          <w:rtl/>
        </w:rPr>
        <w:t xml:space="preserve">הנאשם אף השליך את הסכין שבאמצעותה דקר את המנוח. </w:t>
      </w:r>
    </w:p>
    <w:p w:rsidR="00E45EA2" w:rsidRDefault="00E45EA2" w:rsidP="00E45EA2">
      <w:pPr>
        <w:pStyle w:val="a"/>
        <w:numPr>
          <w:ilvl w:val="0"/>
          <w:numId w:val="0"/>
        </w:numPr>
        <w:ind w:left="140"/>
        <w:jc w:val="both"/>
        <w:rPr>
          <w:rtl/>
        </w:rPr>
      </w:pPr>
      <w:r w:rsidRPr="00B80D38">
        <w:rPr>
          <w:rFonts w:hint="cs"/>
          <w:rtl/>
        </w:rPr>
        <w:t>המאשימה עתרה ל</w:t>
      </w:r>
      <w:r>
        <w:rPr>
          <w:rFonts w:hint="cs"/>
          <w:rtl/>
        </w:rPr>
        <w:t xml:space="preserve">גזור על הנאשם עונש של 30 שנות מאסר בפועל, בשל חומרת העבירה. </w:t>
      </w:r>
      <w:r w:rsidRPr="00B80D38">
        <w:rPr>
          <w:rFonts w:hint="cs"/>
          <w:rtl/>
        </w:rPr>
        <w:t xml:space="preserve">ההגנה עתרה </w:t>
      </w:r>
      <w:r>
        <w:rPr>
          <w:rFonts w:hint="cs"/>
          <w:rtl/>
        </w:rPr>
        <w:t xml:space="preserve">לגזור על הנאשם עונש שלא יעלה על 15 שנות מאסר, </w:t>
      </w:r>
      <w:r w:rsidRPr="00B80D38">
        <w:rPr>
          <w:rFonts w:hint="cs"/>
          <w:rtl/>
        </w:rPr>
        <w:t xml:space="preserve">בהיותו </w:t>
      </w:r>
      <w:r>
        <w:rPr>
          <w:rFonts w:hint="cs"/>
          <w:rtl/>
        </w:rPr>
        <w:t xml:space="preserve">של הנאשם </w:t>
      </w:r>
      <w:r w:rsidRPr="00B80D38">
        <w:rPr>
          <w:rFonts w:hint="cs"/>
          <w:rtl/>
        </w:rPr>
        <w:t>נעדר עבר פליל</w:t>
      </w:r>
      <w:r>
        <w:rPr>
          <w:rFonts w:hint="cs"/>
          <w:rtl/>
        </w:rPr>
        <w:t>י וגילו הצעיר בעת ביצוע העבירה.</w:t>
      </w:r>
    </w:p>
    <w:p w:rsidR="00BB2485" w:rsidRDefault="00E45EA2" w:rsidP="00E45EA2">
      <w:pPr>
        <w:pStyle w:val="a"/>
        <w:numPr>
          <w:ilvl w:val="0"/>
          <w:numId w:val="0"/>
        </w:numPr>
        <w:ind w:left="140"/>
        <w:jc w:val="both"/>
        <w:rPr>
          <w:rtl/>
        </w:rPr>
      </w:pPr>
      <w:r>
        <w:rPr>
          <w:rFonts w:hint="cs"/>
          <w:rtl/>
        </w:rPr>
        <w:t xml:space="preserve">בית המשפט קבע שקל את חומרת העבירה, את התופעה הפסולה של שימוש בסכין לפתרון סכסוכים, את הנזק הכבד שנגרם, ואת העובדה שהנאשם לא נטל אחריות למעשיו. מנגד נתן דעתו לקביעה בהכרעת הדין שיתכן שהיה יחד עם הנאשם גם דוקר נוסף, ולגילו הצעיר של הנאשם, שהיה בן 18 ו-5 חודשים בעת ביצוע העבירה. </w:t>
      </w:r>
    </w:p>
    <w:p w:rsidR="00E45EA2" w:rsidRPr="00B80D38" w:rsidRDefault="00E45EA2" w:rsidP="00E45EA2">
      <w:pPr>
        <w:pStyle w:val="a"/>
        <w:numPr>
          <w:ilvl w:val="0"/>
          <w:numId w:val="0"/>
        </w:numPr>
        <w:ind w:left="140"/>
        <w:jc w:val="both"/>
      </w:pPr>
      <w:r>
        <w:rPr>
          <w:rFonts w:hint="cs"/>
          <w:rtl/>
        </w:rPr>
        <w:t>בסופו של דבר, גזר עלי</w:t>
      </w:r>
      <w:r w:rsidR="00BB2485">
        <w:rPr>
          <w:rFonts w:hint="cs"/>
          <w:rtl/>
        </w:rPr>
        <w:t>ו בית המשפט, עונש</w:t>
      </w:r>
      <w:r>
        <w:rPr>
          <w:rFonts w:hint="cs"/>
          <w:rtl/>
        </w:rPr>
        <w:t xml:space="preserve"> של 26 שנות מאסר בפועל, לצד פיצוי למשפחת הקורבן בסכום המקסימלי הקבוע בחוק. </w:t>
      </w:r>
    </w:p>
    <w:p w:rsidR="00E13F6E" w:rsidRDefault="00E13F6E" w:rsidP="00E13F6E">
      <w:pPr>
        <w:spacing w:after="120" w:line="360" w:lineRule="auto"/>
        <w:jc w:val="both"/>
        <w:rPr>
          <w:rFonts w:ascii="FrankRuehl" w:hAnsi="FrankRuehl" w:cs="FrankRuehl"/>
          <w:color w:val="323E4F" w:themeColor="text2" w:themeShade="BF"/>
          <w:sz w:val="26"/>
          <w:szCs w:val="26"/>
          <w:rtl/>
        </w:rPr>
      </w:pPr>
    </w:p>
    <w:p w:rsidR="00E13F6E" w:rsidRPr="000071E5" w:rsidRDefault="00E13F6E" w:rsidP="00E45EA2">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Pr>
          <w:rFonts w:ascii="FrankRuehl" w:hAnsi="FrankRuehl" w:cs="FrankRuehl"/>
          <w:b/>
          <w:bCs/>
          <w:color w:val="002060"/>
          <w:sz w:val="26"/>
          <w:szCs w:val="26"/>
          <w:rtl/>
        </w:rPr>
        <w:t xml:space="preserve">הנוסח המחייב הוא </w:t>
      </w:r>
      <w:r w:rsidRPr="000071E5">
        <w:rPr>
          <w:rFonts w:ascii="FrankRuehl" w:hAnsi="FrankRuehl" w:cs="FrankRuehl"/>
          <w:b/>
          <w:bCs/>
          <w:color w:val="002060"/>
          <w:sz w:val="26"/>
          <w:szCs w:val="26"/>
          <w:rtl/>
        </w:rPr>
        <w:t xml:space="preserve">של </w:t>
      </w:r>
      <w:r w:rsidR="00E45EA2">
        <w:rPr>
          <w:rFonts w:ascii="FrankRuehl" w:hAnsi="FrankRuehl" w:cs="FrankRuehl" w:hint="cs"/>
          <w:b/>
          <w:bCs/>
          <w:color w:val="002060"/>
          <w:sz w:val="26"/>
          <w:szCs w:val="26"/>
          <w:rtl/>
        </w:rPr>
        <w:t>גזר</w:t>
      </w:r>
      <w:r>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הדין המלא</w:t>
      </w:r>
      <w:r w:rsidRPr="000071E5">
        <w:rPr>
          <w:rFonts w:ascii="FrankRuehl" w:hAnsi="FrankRuehl" w:cs="FrankRuehl" w:hint="cs"/>
          <w:b/>
          <w:bCs/>
          <w:color w:val="002060"/>
          <w:sz w:val="26"/>
          <w:szCs w:val="26"/>
          <w:rtl/>
        </w:rPr>
        <w:t xml:space="preserve"> ***</w:t>
      </w:r>
    </w:p>
    <w:sectPr w:rsidR="00E13F6E" w:rsidRPr="000071E5"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0CBE" w:rsidRDefault="00690CBE" w:rsidP="00730CA1">
      <w:pPr>
        <w:spacing w:after="0" w:line="240" w:lineRule="auto"/>
      </w:pPr>
      <w:r>
        <w:separator/>
      </w:r>
    </w:p>
  </w:endnote>
  <w:endnote w:type="continuationSeparator" w:id="0">
    <w:p w:rsidR="00690CBE" w:rsidRDefault="00690CBE"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בית משפט העליון | דרך השופט מאיר שמגר 1 | </w:t>
    </w:r>
    <w:proofErr w:type="spellStart"/>
    <w:r w:rsidRPr="003A639C">
      <w:rPr>
        <w:rFonts w:ascii="Times New Roman" w:eastAsia="Times New Roman" w:hAnsi="Times New Roman" w:cs="FrankRuehl" w:hint="cs"/>
        <w:b/>
        <w:bCs/>
        <w:color w:val="000080"/>
        <w:spacing w:val="6"/>
        <w:sz w:val="24"/>
        <w:szCs w:val="24"/>
        <w:rtl/>
      </w:rPr>
      <w:t>קרית</w:t>
    </w:r>
    <w:proofErr w:type="spellEnd"/>
    <w:r w:rsidRPr="003A639C">
      <w:rPr>
        <w:rFonts w:ascii="Times New Roman" w:eastAsia="Times New Roman" w:hAnsi="Times New Roman" w:cs="FrankRuehl" w:hint="cs"/>
        <w:b/>
        <w:bCs/>
        <w:color w:val="000080"/>
        <w:spacing w:val="6"/>
        <w:sz w:val="24"/>
        <w:szCs w:val="24"/>
        <w:rtl/>
      </w:rPr>
      <w:t xml:space="preserve">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0CBE" w:rsidRDefault="00690CBE" w:rsidP="00730CA1">
      <w:pPr>
        <w:spacing w:after="0" w:line="240" w:lineRule="auto"/>
      </w:pPr>
      <w:r>
        <w:separator/>
      </w:r>
    </w:p>
  </w:footnote>
  <w:footnote w:type="continuationSeparator" w:id="0">
    <w:p w:rsidR="00690CBE" w:rsidRDefault="00690CBE"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abstractNum w:abstractNumId="1" w15:restartNumberingAfterBreak="0">
    <w:nsid w:val="1C5E6DF5"/>
    <w:multiLevelType w:val="hybridMultilevel"/>
    <w:tmpl w:val="8B861232"/>
    <w:lvl w:ilvl="0" w:tplc="800A5CAC">
      <w:start w:val="1"/>
      <w:numFmt w:val="decimal"/>
      <w:pStyle w:val="a"/>
      <w:lvlText w:val="%1."/>
      <w:lvlJc w:val="left"/>
      <w:pPr>
        <w:tabs>
          <w:tab w:val="num" w:pos="720"/>
        </w:tabs>
        <w:ind w:left="720" w:hanging="720"/>
      </w:pPr>
      <w:rPr>
        <w:rFonts w:hint="default"/>
        <w:b w:val="0"/>
        <w:bCs w:val="0"/>
      </w:rPr>
    </w:lvl>
    <w:lvl w:ilvl="1" w:tplc="FEB4E978">
      <w:start w:val="1"/>
      <w:numFmt w:val="hebrew1"/>
      <w:lvlText w:val="%2."/>
      <w:lvlJc w:val="left"/>
      <w:pPr>
        <w:tabs>
          <w:tab w:val="num" w:pos="1620"/>
        </w:tabs>
        <w:ind w:left="1620" w:hanging="360"/>
      </w:pPr>
      <w:rPr>
        <w:rFonts w:hint="default"/>
        <w:b w:val="0"/>
        <w:bCs w:val="0"/>
      </w:rPr>
    </w:lvl>
    <w:lvl w:ilvl="2" w:tplc="C3B0CB38">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C4D75"/>
    <w:rsid w:val="001D42A7"/>
    <w:rsid w:val="002453CF"/>
    <w:rsid w:val="002C0E83"/>
    <w:rsid w:val="003921C3"/>
    <w:rsid w:val="003A639C"/>
    <w:rsid w:val="003C61AF"/>
    <w:rsid w:val="003E6E39"/>
    <w:rsid w:val="003E7EB7"/>
    <w:rsid w:val="00426AA7"/>
    <w:rsid w:val="00515986"/>
    <w:rsid w:val="005253B2"/>
    <w:rsid w:val="00541C9E"/>
    <w:rsid w:val="00631744"/>
    <w:rsid w:val="00690B6F"/>
    <w:rsid w:val="00690CBE"/>
    <w:rsid w:val="006B7B96"/>
    <w:rsid w:val="006C3B1F"/>
    <w:rsid w:val="006F1E1F"/>
    <w:rsid w:val="007007D7"/>
    <w:rsid w:val="00711675"/>
    <w:rsid w:val="00730CA1"/>
    <w:rsid w:val="007B7899"/>
    <w:rsid w:val="0080567F"/>
    <w:rsid w:val="00832AD7"/>
    <w:rsid w:val="008C02E0"/>
    <w:rsid w:val="00983123"/>
    <w:rsid w:val="009E5C0E"/>
    <w:rsid w:val="00AD7644"/>
    <w:rsid w:val="00B16422"/>
    <w:rsid w:val="00B22AFC"/>
    <w:rsid w:val="00BA3143"/>
    <w:rsid w:val="00BB2485"/>
    <w:rsid w:val="00C22E08"/>
    <w:rsid w:val="00C37F37"/>
    <w:rsid w:val="00C50C55"/>
    <w:rsid w:val="00C529CC"/>
    <w:rsid w:val="00C842A7"/>
    <w:rsid w:val="00C85A27"/>
    <w:rsid w:val="00CA2D6A"/>
    <w:rsid w:val="00CB4940"/>
    <w:rsid w:val="00CD280B"/>
    <w:rsid w:val="00D11F77"/>
    <w:rsid w:val="00D205AB"/>
    <w:rsid w:val="00D43C0E"/>
    <w:rsid w:val="00D5319F"/>
    <w:rsid w:val="00E13F6E"/>
    <w:rsid w:val="00E35DF3"/>
    <w:rsid w:val="00E45EA2"/>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DC41D"/>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bidi/>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426AA7"/>
    <w:pPr>
      <w:spacing w:after="0" w:line="240" w:lineRule="auto"/>
    </w:pPr>
    <w:rPr>
      <w:rFonts w:ascii="Tahoma" w:hAnsi="Tahoma" w:cs="Tahoma"/>
      <w:sz w:val="18"/>
      <w:szCs w:val="18"/>
    </w:rPr>
  </w:style>
  <w:style w:type="character" w:customStyle="1" w:styleId="a5">
    <w:name w:val="טקסט בלונים תו"/>
    <w:basedOn w:val="a1"/>
    <w:link w:val="a4"/>
    <w:uiPriority w:val="99"/>
    <w:semiHidden/>
    <w:rsid w:val="00426AA7"/>
    <w:rPr>
      <w:rFonts w:ascii="Tahoma" w:hAnsi="Tahoma" w:cs="Tahoma"/>
      <w:sz w:val="18"/>
      <w:szCs w:val="18"/>
    </w:rPr>
  </w:style>
  <w:style w:type="character" w:styleId="Hyperlink">
    <w:name w:val="Hyperlink"/>
    <w:basedOn w:val="a1"/>
    <w:uiPriority w:val="99"/>
    <w:unhideWhenUsed/>
    <w:rsid w:val="00E35DF3"/>
    <w:rPr>
      <w:color w:val="0563C1" w:themeColor="hyperlink"/>
      <w:u w:val="single"/>
    </w:rPr>
  </w:style>
  <w:style w:type="paragraph" w:styleId="a6">
    <w:name w:val="header"/>
    <w:basedOn w:val="a0"/>
    <w:link w:val="a7"/>
    <w:uiPriority w:val="99"/>
    <w:unhideWhenUsed/>
    <w:rsid w:val="00730CA1"/>
    <w:pPr>
      <w:tabs>
        <w:tab w:val="center" w:pos="4153"/>
        <w:tab w:val="right" w:pos="8306"/>
      </w:tabs>
      <w:spacing w:after="0" w:line="240" w:lineRule="auto"/>
    </w:pPr>
  </w:style>
  <w:style w:type="character" w:customStyle="1" w:styleId="a7">
    <w:name w:val="כותרת עליונה תו"/>
    <w:basedOn w:val="a1"/>
    <w:link w:val="a6"/>
    <w:uiPriority w:val="99"/>
    <w:rsid w:val="00730CA1"/>
  </w:style>
  <w:style w:type="paragraph" w:styleId="a8">
    <w:name w:val="footer"/>
    <w:basedOn w:val="a0"/>
    <w:link w:val="a9"/>
    <w:uiPriority w:val="99"/>
    <w:unhideWhenUsed/>
    <w:rsid w:val="00730CA1"/>
    <w:pPr>
      <w:tabs>
        <w:tab w:val="center" w:pos="4153"/>
        <w:tab w:val="right" w:pos="8306"/>
      </w:tabs>
      <w:spacing w:after="0" w:line="240" w:lineRule="auto"/>
    </w:pPr>
  </w:style>
  <w:style w:type="character" w:customStyle="1" w:styleId="a9">
    <w:name w:val="כותרת תחתונה תו"/>
    <w:basedOn w:val="a1"/>
    <w:link w:val="a8"/>
    <w:uiPriority w:val="99"/>
    <w:rsid w:val="00730CA1"/>
  </w:style>
  <w:style w:type="paragraph" w:customStyle="1" w:styleId="aa">
    <w:name w:val="כותרת"/>
    <w:basedOn w:val="a0"/>
    <w:next w:val="ab"/>
    <w:autoRedefine/>
    <w:rsid w:val="00E45EA2"/>
    <w:pPr>
      <w:spacing w:after="120" w:line="360" w:lineRule="auto"/>
      <w:jc w:val="center"/>
    </w:pPr>
    <w:rPr>
      <w:rFonts w:ascii="FrankRuehl" w:hAnsi="FrankRuehl" w:cs="FrankRuehl"/>
      <w:b/>
      <w:bCs/>
      <w:color w:val="002060"/>
      <w:sz w:val="32"/>
      <w:szCs w:val="32"/>
      <w:u w:val="single"/>
    </w:rPr>
  </w:style>
  <w:style w:type="paragraph" w:customStyle="1" w:styleId="a">
    <w:name w:val="ממוספר"/>
    <w:basedOn w:val="a0"/>
    <w:rsid w:val="00E45EA2"/>
    <w:pPr>
      <w:numPr>
        <w:numId w:val="3"/>
      </w:numPr>
      <w:spacing w:after="120" w:line="360" w:lineRule="auto"/>
    </w:pPr>
    <w:rPr>
      <w:rFonts w:ascii="David" w:eastAsia="Times New Roman" w:hAnsi="David" w:cs="David"/>
      <w:color w:val="000000"/>
      <w:sz w:val="24"/>
      <w:szCs w:val="24"/>
    </w:rPr>
  </w:style>
  <w:style w:type="character" w:customStyle="1" w:styleId="default">
    <w:name w:val="default"/>
    <w:rsid w:val="00E45EA2"/>
    <w:rPr>
      <w:rFonts w:ascii="Times New Roman" w:hAnsi="Times New Roman" w:cs="Times New Roman"/>
      <w:sz w:val="26"/>
      <w:szCs w:val="26"/>
    </w:rPr>
  </w:style>
  <w:style w:type="paragraph" w:styleId="ab">
    <w:name w:val="List"/>
    <w:basedOn w:val="a0"/>
    <w:rsid w:val="00E45EA2"/>
    <w:pPr>
      <w:spacing w:after="0" w:line="240" w:lineRule="auto"/>
      <w:ind w:left="283" w:hanging="283"/>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6B34E437-38A3-4529-874E-F41BF70D35B2}">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1800</Characters>
  <Application>Microsoft Office Word</Application>
  <DocSecurity>0</DocSecurity>
  <Lines>15</Lines>
  <Paragraphs>4</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רותם כהן</cp:lastModifiedBy>
  <cp:revision>4</cp:revision>
  <cp:lastPrinted>2017-11-13T12:38:00Z</cp:lastPrinted>
  <dcterms:created xsi:type="dcterms:W3CDTF">2024-12-23T11:41:00Z</dcterms:created>
  <dcterms:modified xsi:type="dcterms:W3CDTF">2024-12-24T07:31:00Z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23 בדצמבר 2024</vt:lpwstr>
  </property>
  <property fmtid="{D5CDD505-2E9C-101B-9397-08002B2CF9AE}" pid="3" name="DocDateHeb">
    <vt:lpwstr>כ"ב בכסלו תשפ"ה</vt:lpwstr>
  </property>
  <property fmtid="{D5CDD505-2E9C-101B-9397-08002B2CF9AE}" pid="4" name="DocNumber">
    <vt:lpwstr>4700-1039-2024-010238</vt:lpwstr>
  </property>
  <property fmtid="{D5CDD505-2E9C-101B-9397-08002B2CF9AE}" pid="5" name="DocRecipientsName">
    <vt:lpwstr/>
  </property>
  <property fmtid="{D5CDD505-2E9C-101B-9397-08002B2CF9AE}" pid="6" name="DocToName">
    <vt:lpwstr/>
  </property>
  <property fmtid="{D5CDD505-2E9C-101B-9397-08002B2CF9AE}" pid="7" name="DocObjectName">
    <vt:lpwstr>גזר דין תפ"ח 8956-09-20</vt:lpwstr>
  </property>
</Properties>
</file>